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C0802" w:rsidRDefault="00EC13E1" w:rsidP="00EC13E1">
      <w:pPr>
        <w:spacing w:after="120"/>
        <w:jc w:val="center"/>
        <w:rPr>
          <w:rFonts w:ascii="Arial" w:hAnsi="Arial" w:cs="Arial"/>
          <w:b/>
          <w:color w:val="000000" w:themeColor="text1"/>
          <w:sz w:val="22"/>
          <w:szCs w:val="22"/>
        </w:rPr>
      </w:pPr>
      <w:r w:rsidRPr="00EC13E1">
        <w:rPr>
          <w:rFonts w:ascii="Arial" w:hAnsi="Arial" w:cs="Arial"/>
          <w:b/>
          <w:color w:val="000000" w:themeColor="text1"/>
          <w:sz w:val="22"/>
          <w:szCs w:val="22"/>
        </w:rPr>
        <w:t>PRESENTACIÓN LANZAMIENTO NUEVO MARCO</w:t>
      </w:r>
      <w:r>
        <w:rPr>
          <w:rFonts w:ascii="Arial" w:hAnsi="Arial" w:cs="Arial"/>
          <w:b/>
          <w:color w:val="000000" w:themeColor="text1"/>
          <w:sz w:val="22"/>
          <w:szCs w:val="22"/>
        </w:rPr>
        <w:t xml:space="preserve"> TARIFARIO PARA PEQUEÑOS PRESTADORES Y GESTORES COMUNITARIOS</w:t>
      </w:r>
    </w:p>
    <w:p w:rsidR="00EC13E1" w:rsidRPr="00EC13E1" w:rsidRDefault="00EC13E1" w:rsidP="00EC13E1">
      <w:pPr>
        <w:spacing w:after="120"/>
        <w:jc w:val="center"/>
        <w:rPr>
          <w:rFonts w:ascii="Arial" w:hAnsi="Arial" w:cs="Arial"/>
          <w:b/>
          <w:color w:val="000000" w:themeColor="text1"/>
          <w:sz w:val="22"/>
          <w:szCs w:val="22"/>
        </w:rPr>
      </w:pPr>
    </w:p>
    <w:p w:rsidR="000C0802" w:rsidRPr="00EC13E1" w:rsidRDefault="00C94143" w:rsidP="00EC13E1">
      <w:pPr>
        <w:pStyle w:val="Ttulo1"/>
        <w:spacing w:after="120"/>
        <w:jc w:val="both"/>
        <w:rPr>
          <w:rFonts w:ascii="Arial" w:hAnsi="Arial" w:cs="Arial"/>
          <w:color w:val="000000" w:themeColor="text1"/>
          <w:sz w:val="22"/>
          <w:szCs w:val="22"/>
        </w:rPr>
      </w:pPr>
      <w:r w:rsidRPr="00EC13E1">
        <w:rPr>
          <w:rFonts w:ascii="Arial" w:hAnsi="Arial" w:cs="Arial"/>
          <w:b/>
          <w:bCs/>
          <w:color w:val="000000" w:themeColor="text1"/>
          <w:sz w:val="22"/>
          <w:szCs w:val="22"/>
        </w:rPr>
        <w:t>Diapositiva 1. Portada</w:t>
      </w:r>
    </w:p>
    <w:p w:rsidR="000C0802" w:rsidRPr="00EC13E1" w:rsidRDefault="00C94143" w:rsidP="00EC13E1">
      <w:pPr>
        <w:spacing w:after="120"/>
        <w:jc w:val="both"/>
        <w:rPr>
          <w:rFonts w:ascii="Arial" w:hAnsi="Arial" w:cs="Arial"/>
          <w:color w:val="000000" w:themeColor="text1"/>
          <w:sz w:val="22"/>
          <w:szCs w:val="22"/>
        </w:rPr>
      </w:pPr>
      <w:r w:rsidRPr="00EC13E1">
        <w:rPr>
          <w:rFonts w:ascii="Arial" w:hAnsi="Arial" w:cs="Arial"/>
          <w:color w:val="000000" w:themeColor="text1"/>
          <w:sz w:val="22"/>
          <w:szCs w:val="22"/>
        </w:rPr>
        <w:t>Buenos días a tod</w:t>
      </w:r>
      <w:r w:rsidR="00EC13E1">
        <w:rPr>
          <w:rFonts w:ascii="Arial" w:hAnsi="Arial" w:cs="Arial"/>
          <w:color w:val="000000" w:themeColor="text1"/>
          <w:sz w:val="22"/>
          <w:szCs w:val="22"/>
        </w:rPr>
        <w:t>as y a todos. Es un honor dar la bienvenida a este espacio</w:t>
      </w:r>
      <w:r w:rsidRPr="00EC13E1">
        <w:rPr>
          <w:rFonts w:ascii="Arial" w:hAnsi="Arial" w:cs="Arial"/>
          <w:color w:val="000000" w:themeColor="text1"/>
          <w:sz w:val="22"/>
          <w:szCs w:val="22"/>
        </w:rPr>
        <w:t xml:space="preserve"> de lanzamiento del Nuevo Marco Tarifario para Pequeños Prestadores y Gestores Comunitarios de Acueducto y Alcantarillado, adoptado mediante la Resolución CRA 1038 de 2026.</w:t>
      </w:r>
    </w:p>
    <w:p w:rsidR="000C0802" w:rsidRPr="00EC13E1" w:rsidRDefault="00C94143" w:rsidP="00EC13E1">
      <w:pPr>
        <w:spacing w:after="120"/>
        <w:jc w:val="both"/>
        <w:rPr>
          <w:rFonts w:ascii="Arial" w:hAnsi="Arial" w:cs="Arial"/>
          <w:color w:val="000000" w:themeColor="text1"/>
          <w:sz w:val="22"/>
          <w:szCs w:val="22"/>
        </w:rPr>
      </w:pPr>
      <w:r w:rsidRPr="00EC13E1">
        <w:rPr>
          <w:rFonts w:ascii="Arial" w:hAnsi="Arial" w:cs="Arial"/>
          <w:color w:val="000000" w:themeColor="text1"/>
          <w:sz w:val="22"/>
          <w:szCs w:val="22"/>
        </w:rPr>
        <w:t>Nos re</w:t>
      </w:r>
      <w:r w:rsidR="00EC13E1">
        <w:rPr>
          <w:rFonts w:ascii="Arial" w:hAnsi="Arial" w:cs="Arial"/>
          <w:color w:val="000000" w:themeColor="text1"/>
          <w:sz w:val="22"/>
          <w:szCs w:val="22"/>
        </w:rPr>
        <w:t>unimos hoy, para presentar este marco construido</w:t>
      </w:r>
      <w:r w:rsidRPr="00EC13E1">
        <w:rPr>
          <w:rFonts w:ascii="Arial" w:hAnsi="Arial" w:cs="Arial"/>
          <w:color w:val="000000" w:themeColor="text1"/>
          <w:sz w:val="22"/>
          <w:szCs w:val="22"/>
        </w:rPr>
        <w:t xml:space="preserve"> a lo largo de meses de trabajo técnico y, sobre todo, de diálogo con el territorio. Esta nueva regulación entrará en aplicac</w:t>
      </w:r>
      <w:r w:rsidR="00EC13E1">
        <w:rPr>
          <w:rFonts w:ascii="Arial" w:hAnsi="Arial" w:cs="Arial"/>
          <w:color w:val="000000" w:themeColor="text1"/>
          <w:sz w:val="22"/>
          <w:szCs w:val="22"/>
        </w:rPr>
        <w:t>ión a partir del 1</w:t>
      </w:r>
      <w:r w:rsidRPr="00EC13E1">
        <w:rPr>
          <w:rFonts w:ascii="Arial" w:hAnsi="Arial" w:cs="Arial"/>
          <w:color w:val="000000" w:themeColor="text1"/>
          <w:sz w:val="22"/>
          <w:szCs w:val="22"/>
        </w:rPr>
        <w:t xml:space="preserve"> de enero de 202</w:t>
      </w:r>
      <w:r w:rsidR="00EC13E1">
        <w:rPr>
          <w:rFonts w:ascii="Arial" w:hAnsi="Arial" w:cs="Arial"/>
          <w:color w:val="000000" w:themeColor="text1"/>
          <w:sz w:val="22"/>
          <w:szCs w:val="22"/>
        </w:rPr>
        <w:t>7 y queremos acompañarlos y ponernos en</w:t>
      </w:r>
      <w:r w:rsidRPr="00EC13E1">
        <w:rPr>
          <w:rFonts w:ascii="Arial" w:hAnsi="Arial" w:cs="Arial"/>
          <w:color w:val="000000" w:themeColor="text1"/>
          <w:sz w:val="22"/>
          <w:szCs w:val="22"/>
        </w:rPr>
        <w:t xml:space="preserve"> </w:t>
      </w:r>
      <w:r w:rsidR="00EC13E1">
        <w:rPr>
          <w:rFonts w:ascii="Arial" w:hAnsi="Arial" w:cs="Arial"/>
          <w:color w:val="000000" w:themeColor="text1"/>
          <w:sz w:val="22"/>
          <w:szCs w:val="22"/>
        </w:rPr>
        <w:t xml:space="preserve">total </w:t>
      </w:r>
      <w:r w:rsidRPr="00EC13E1">
        <w:rPr>
          <w:rFonts w:ascii="Arial" w:hAnsi="Arial" w:cs="Arial"/>
          <w:color w:val="000000" w:themeColor="text1"/>
          <w:sz w:val="22"/>
          <w:szCs w:val="22"/>
        </w:rPr>
        <w:t xml:space="preserve">disposición para </w:t>
      </w:r>
      <w:r w:rsidR="00EC13E1">
        <w:rPr>
          <w:rFonts w:ascii="Arial" w:hAnsi="Arial" w:cs="Arial"/>
          <w:color w:val="000000" w:themeColor="text1"/>
          <w:sz w:val="22"/>
          <w:szCs w:val="22"/>
        </w:rPr>
        <w:t>que sea posible la implementación</w:t>
      </w:r>
      <w:r w:rsidRPr="00EC13E1">
        <w:rPr>
          <w:rFonts w:ascii="Arial" w:hAnsi="Arial" w:cs="Arial"/>
          <w:color w:val="000000" w:themeColor="text1"/>
          <w:sz w:val="22"/>
          <w:szCs w:val="22"/>
        </w:rPr>
        <w:t>.</w:t>
      </w:r>
    </w:p>
    <w:p w:rsidR="000C0802" w:rsidRPr="00EC13E1" w:rsidRDefault="00EC13E1" w:rsidP="00EC13E1">
      <w:pPr>
        <w:spacing w:after="120"/>
        <w:jc w:val="both"/>
        <w:rPr>
          <w:rFonts w:ascii="Arial" w:hAnsi="Arial" w:cs="Arial"/>
          <w:color w:val="000000" w:themeColor="text1"/>
          <w:sz w:val="22"/>
          <w:szCs w:val="22"/>
        </w:rPr>
      </w:pPr>
      <w:r>
        <w:rPr>
          <w:rFonts w:ascii="Arial" w:hAnsi="Arial" w:cs="Arial"/>
          <w:color w:val="000000" w:themeColor="text1"/>
          <w:sz w:val="22"/>
          <w:szCs w:val="22"/>
        </w:rPr>
        <w:t xml:space="preserve">Quiero agradecer a todo el equipo técnico que hizo realidad que hoy estemos presentando a ustedes esta herramienta para los pequeños y gestores comunitarios, y hacer un agradecimiento especial a la Experta Nelly Mogollón quien lideró este ejercicio. Igualmente, </w:t>
      </w:r>
      <w:r w:rsidR="00C94143">
        <w:rPr>
          <w:rFonts w:ascii="Arial" w:hAnsi="Arial" w:cs="Arial"/>
          <w:color w:val="000000" w:themeColor="text1"/>
          <w:sz w:val="22"/>
          <w:szCs w:val="22"/>
        </w:rPr>
        <w:t>a</w:t>
      </w:r>
      <w:r w:rsidR="00C94143" w:rsidRPr="00EC13E1">
        <w:rPr>
          <w:rFonts w:ascii="Arial" w:hAnsi="Arial" w:cs="Arial"/>
          <w:color w:val="000000" w:themeColor="text1"/>
          <w:sz w:val="22"/>
          <w:szCs w:val="22"/>
        </w:rPr>
        <w:t>gradezco la presencia de los pequeños prestado</w:t>
      </w:r>
      <w:r w:rsidR="00C94143">
        <w:rPr>
          <w:rFonts w:ascii="Arial" w:hAnsi="Arial" w:cs="Arial"/>
          <w:color w:val="000000" w:themeColor="text1"/>
          <w:sz w:val="22"/>
          <w:szCs w:val="22"/>
        </w:rPr>
        <w:t xml:space="preserve">res, los gestores comunitarios </w:t>
      </w:r>
      <w:r w:rsidR="00C94143" w:rsidRPr="00EC13E1">
        <w:rPr>
          <w:rFonts w:ascii="Arial" w:hAnsi="Arial" w:cs="Arial"/>
          <w:color w:val="000000" w:themeColor="text1"/>
          <w:sz w:val="22"/>
          <w:szCs w:val="22"/>
        </w:rPr>
        <w:t>y todos quienes hoy nos acompañan.</w:t>
      </w:r>
    </w:p>
    <w:p w:rsidR="000C0802" w:rsidRPr="00EC13E1" w:rsidRDefault="00C94143" w:rsidP="00EC13E1">
      <w:pPr>
        <w:pStyle w:val="Ttulo1"/>
        <w:spacing w:after="120"/>
        <w:jc w:val="both"/>
        <w:rPr>
          <w:rFonts w:ascii="Arial" w:hAnsi="Arial" w:cs="Arial"/>
          <w:color w:val="000000" w:themeColor="text1"/>
          <w:sz w:val="22"/>
          <w:szCs w:val="22"/>
        </w:rPr>
      </w:pPr>
      <w:r w:rsidRPr="00EC13E1">
        <w:rPr>
          <w:rFonts w:ascii="Arial" w:hAnsi="Arial" w:cs="Arial"/>
          <w:b/>
          <w:bCs/>
          <w:color w:val="000000" w:themeColor="text1"/>
          <w:sz w:val="22"/>
          <w:szCs w:val="22"/>
        </w:rPr>
        <w:t>Diapositiva 2. ¿Por qué un nuevo marco tarifario?</w:t>
      </w:r>
    </w:p>
    <w:p w:rsidR="000C0802" w:rsidRPr="00EC13E1" w:rsidRDefault="00C94143" w:rsidP="00EC13E1">
      <w:pPr>
        <w:spacing w:after="120"/>
        <w:jc w:val="both"/>
        <w:rPr>
          <w:rFonts w:ascii="Arial" w:hAnsi="Arial" w:cs="Arial"/>
          <w:color w:val="000000" w:themeColor="text1"/>
          <w:sz w:val="22"/>
          <w:szCs w:val="22"/>
        </w:rPr>
      </w:pPr>
      <w:r w:rsidRPr="00EC13E1">
        <w:rPr>
          <w:rFonts w:ascii="Arial" w:hAnsi="Arial" w:cs="Arial"/>
          <w:color w:val="000000" w:themeColor="text1"/>
          <w:sz w:val="22"/>
          <w:szCs w:val="22"/>
        </w:rPr>
        <w:t>Empecemos por la pregunta que da origen a todo este proceso: ¿por qué un nuevo marco tarifario?</w:t>
      </w:r>
    </w:p>
    <w:p w:rsidR="000C0802" w:rsidRPr="00EC13E1" w:rsidRDefault="00C94143" w:rsidP="00EC13E1">
      <w:pPr>
        <w:spacing w:after="120"/>
        <w:jc w:val="both"/>
        <w:rPr>
          <w:rFonts w:ascii="Arial" w:hAnsi="Arial" w:cs="Arial"/>
          <w:color w:val="000000" w:themeColor="text1"/>
          <w:sz w:val="22"/>
          <w:szCs w:val="22"/>
        </w:rPr>
      </w:pPr>
      <w:r w:rsidRPr="00EC13E1">
        <w:rPr>
          <w:rFonts w:ascii="Arial" w:hAnsi="Arial" w:cs="Arial"/>
          <w:color w:val="000000" w:themeColor="text1"/>
          <w:sz w:val="22"/>
          <w:szCs w:val="22"/>
        </w:rPr>
        <w:t>La regulación anterior fue diseñada sobre supuestos de esquemas empresariales urbanos: estructuras administrativas consolidadas, capacidad técnica instalada y contabilidad formalizada. La realidad del territorio es otra. Solo el 17 % de los pequeños prestadores logró aplicar la Resolución CRA 825 de 2017, porque la norma, sencillamente, no correspondía a las condiciones reales de la prestación del servicio.</w:t>
      </w:r>
    </w:p>
    <w:p w:rsidR="000C0802" w:rsidRPr="00EC13E1" w:rsidRDefault="00C94143" w:rsidP="00EC13E1">
      <w:pPr>
        <w:spacing w:after="120"/>
        <w:jc w:val="both"/>
        <w:rPr>
          <w:rFonts w:ascii="Arial" w:hAnsi="Arial" w:cs="Arial"/>
          <w:color w:val="000000" w:themeColor="text1"/>
          <w:sz w:val="22"/>
          <w:szCs w:val="22"/>
        </w:rPr>
      </w:pPr>
      <w:r w:rsidRPr="00EC13E1">
        <w:rPr>
          <w:rFonts w:ascii="Arial" w:hAnsi="Arial" w:cs="Arial"/>
          <w:color w:val="000000" w:themeColor="text1"/>
          <w:sz w:val="22"/>
          <w:szCs w:val="22"/>
        </w:rPr>
        <w:t xml:space="preserve">A los acueductos comunitarios se les exigió una metodología concebida para otra escala y otra naturaleza institucional. </w:t>
      </w:r>
      <w:proofErr w:type="gramStart"/>
      <w:r w:rsidRPr="00EC13E1">
        <w:rPr>
          <w:rFonts w:ascii="Arial" w:hAnsi="Arial" w:cs="Arial"/>
          <w:color w:val="000000" w:themeColor="text1"/>
          <w:sz w:val="22"/>
          <w:szCs w:val="22"/>
        </w:rPr>
        <w:t>Y</w:t>
      </w:r>
      <w:proofErr w:type="gramEnd"/>
      <w:r w:rsidRPr="00EC13E1">
        <w:rPr>
          <w:rFonts w:ascii="Arial" w:hAnsi="Arial" w:cs="Arial"/>
          <w:color w:val="000000" w:themeColor="text1"/>
          <w:sz w:val="22"/>
          <w:szCs w:val="22"/>
        </w:rPr>
        <w:t xml:space="preserve"> sin embargo, los gestores comunitarios del agua han garantizado el acceso al servicio durante décadas, en veredas y corregimientos, muchas veces donde el Estado y el mercado no llegaron con la oportunidad debida. A pesar de ese papel, no estaban visibilizados en la regulación tarifaria. Ese es el vacío que este nuevo marco viene a cerrar.</w:t>
      </w:r>
    </w:p>
    <w:p w:rsidR="000C0802" w:rsidRPr="00EC13E1" w:rsidRDefault="00C94143" w:rsidP="00EC13E1">
      <w:pPr>
        <w:pStyle w:val="Ttulo1"/>
        <w:spacing w:after="120"/>
        <w:jc w:val="both"/>
        <w:rPr>
          <w:rFonts w:ascii="Arial" w:hAnsi="Arial" w:cs="Arial"/>
          <w:color w:val="000000" w:themeColor="text1"/>
          <w:sz w:val="22"/>
          <w:szCs w:val="22"/>
        </w:rPr>
      </w:pPr>
      <w:r w:rsidRPr="00EC13E1">
        <w:rPr>
          <w:rFonts w:ascii="Arial" w:hAnsi="Arial" w:cs="Arial"/>
          <w:b/>
          <w:bCs/>
          <w:color w:val="000000" w:themeColor="text1"/>
          <w:sz w:val="22"/>
          <w:szCs w:val="22"/>
        </w:rPr>
        <w:t>Diapositiva 3. Una decisión que desarrolla mandatos vigentes</w:t>
      </w:r>
    </w:p>
    <w:p w:rsidR="000C0802" w:rsidRPr="00EC13E1" w:rsidRDefault="00C94143" w:rsidP="00EC13E1">
      <w:pPr>
        <w:spacing w:after="120"/>
        <w:jc w:val="both"/>
        <w:rPr>
          <w:rFonts w:ascii="Arial" w:hAnsi="Arial" w:cs="Arial"/>
          <w:color w:val="000000" w:themeColor="text1"/>
          <w:sz w:val="22"/>
          <w:szCs w:val="22"/>
        </w:rPr>
      </w:pPr>
      <w:r w:rsidRPr="00EC13E1">
        <w:rPr>
          <w:rFonts w:ascii="Arial" w:hAnsi="Arial" w:cs="Arial"/>
          <w:color w:val="000000" w:themeColor="text1"/>
          <w:sz w:val="22"/>
          <w:szCs w:val="22"/>
        </w:rPr>
        <w:t>Esta decisión no surge de la nada: desarrolla mandatos que ya existían. La Constitución Política, en sus artículos 333, 365, 366 y 367, nos ordena garantizar el derecho humano al agua y al saneamiento básico. La Ley 2294 de 2023, que adoptó el Plan Nacional de Desarrollo 2022-2026, estableció el mandato de una regulación diferencial para la gestión comunitaria.</w:t>
      </w:r>
    </w:p>
    <w:p w:rsidR="000C0802" w:rsidRPr="00EC13E1" w:rsidRDefault="00C94143" w:rsidP="00EC13E1">
      <w:pPr>
        <w:spacing w:after="120"/>
        <w:jc w:val="both"/>
        <w:rPr>
          <w:rFonts w:ascii="Arial" w:hAnsi="Arial" w:cs="Arial"/>
          <w:color w:val="000000" w:themeColor="text1"/>
          <w:sz w:val="22"/>
          <w:szCs w:val="22"/>
        </w:rPr>
      </w:pPr>
      <w:r w:rsidRPr="00EC13E1">
        <w:rPr>
          <w:rFonts w:ascii="Arial" w:hAnsi="Arial" w:cs="Arial"/>
          <w:color w:val="000000" w:themeColor="text1"/>
          <w:sz w:val="22"/>
          <w:szCs w:val="22"/>
        </w:rPr>
        <w:t>El Decreto 960 de 2025, que contiene la Política Pública de Gestión Comunitaria del Agua y el Saneamiento Básico, reconoció expresamente a los gestores comunitarios. Y el Objetivo de Desarrollo Sostenible 6 nos compromete con el acceso al agua limpia y al saneamiento, la sostenibilidad hídrica y la acción climática.</w:t>
      </w:r>
    </w:p>
    <w:p w:rsidR="000C0802" w:rsidRPr="00EC13E1" w:rsidRDefault="00C94143" w:rsidP="00EC13E1">
      <w:pPr>
        <w:spacing w:after="120"/>
        <w:jc w:val="both"/>
        <w:rPr>
          <w:rFonts w:ascii="Arial" w:hAnsi="Arial" w:cs="Arial"/>
          <w:color w:val="000000" w:themeColor="text1"/>
          <w:sz w:val="22"/>
          <w:szCs w:val="22"/>
        </w:rPr>
      </w:pPr>
      <w:r w:rsidRPr="00EC13E1">
        <w:rPr>
          <w:rFonts w:ascii="Arial" w:hAnsi="Arial" w:cs="Arial"/>
          <w:color w:val="000000" w:themeColor="text1"/>
          <w:sz w:val="22"/>
          <w:szCs w:val="22"/>
        </w:rPr>
        <w:t>Este marco tarifario es, en ese sentido, el desarrollo regulatorio de compromisos que el país ya había asumido.</w:t>
      </w:r>
    </w:p>
    <w:p w:rsidR="000C0802" w:rsidRPr="00EC13E1" w:rsidRDefault="00C94143" w:rsidP="00EC13E1">
      <w:pPr>
        <w:pStyle w:val="Ttulo1"/>
        <w:spacing w:after="120"/>
        <w:jc w:val="both"/>
        <w:rPr>
          <w:rFonts w:ascii="Arial" w:hAnsi="Arial" w:cs="Arial"/>
          <w:color w:val="000000" w:themeColor="text1"/>
          <w:sz w:val="22"/>
          <w:szCs w:val="22"/>
        </w:rPr>
      </w:pPr>
      <w:r w:rsidRPr="00EC13E1">
        <w:rPr>
          <w:rFonts w:ascii="Arial" w:hAnsi="Arial" w:cs="Arial"/>
          <w:b/>
          <w:bCs/>
          <w:color w:val="000000" w:themeColor="text1"/>
          <w:sz w:val="22"/>
          <w:szCs w:val="22"/>
        </w:rPr>
        <w:t>Diapositiva 4. Tres meses de consulta pública en todo el país</w:t>
      </w:r>
    </w:p>
    <w:p w:rsidR="000C0802" w:rsidRPr="00EC13E1" w:rsidRDefault="00C94143" w:rsidP="00EC13E1">
      <w:pPr>
        <w:spacing w:after="120"/>
        <w:jc w:val="both"/>
        <w:rPr>
          <w:rFonts w:ascii="Arial" w:hAnsi="Arial" w:cs="Arial"/>
          <w:color w:val="000000" w:themeColor="text1"/>
          <w:sz w:val="22"/>
          <w:szCs w:val="22"/>
        </w:rPr>
      </w:pPr>
      <w:r w:rsidRPr="00EC13E1">
        <w:rPr>
          <w:rFonts w:ascii="Arial" w:hAnsi="Arial" w:cs="Arial"/>
          <w:color w:val="000000" w:themeColor="text1"/>
          <w:sz w:val="22"/>
          <w:szCs w:val="22"/>
        </w:rPr>
        <w:t>Quiero detenerme en el proceso que hizo posible esta regulación, porque en la CRA creemos que la legitimidad de una norma se construye en el territorio.</w:t>
      </w:r>
    </w:p>
    <w:p w:rsidR="000C0802" w:rsidRPr="00EC13E1" w:rsidRDefault="00C94143" w:rsidP="00EC13E1">
      <w:pPr>
        <w:spacing w:after="120"/>
        <w:jc w:val="both"/>
        <w:rPr>
          <w:rFonts w:ascii="Arial" w:hAnsi="Arial" w:cs="Arial"/>
          <w:color w:val="000000" w:themeColor="text1"/>
          <w:sz w:val="22"/>
          <w:szCs w:val="22"/>
        </w:rPr>
      </w:pPr>
      <w:r w:rsidRPr="00EC13E1">
        <w:rPr>
          <w:rFonts w:ascii="Arial" w:hAnsi="Arial" w:cs="Arial"/>
          <w:color w:val="000000" w:themeColor="text1"/>
          <w:sz w:val="22"/>
          <w:szCs w:val="22"/>
        </w:rPr>
        <w:lastRenderedPageBreak/>
        <w:t>Abrimos la consulta pública de la propuesta regulatoria el 20 de noviembre de 2025, con fundamento en el procedimiento especial de participación del artículo 2.3.6.3.3.11 del Decreto 1077 de 2015. Entre noviembre y febrero realizamos cinco consultas presenciales en Quibdó, Ibagué, Pereira, Villavicencio y Riohacha, y ocho jornadas de socialización en Palmira, Duitama, Florencia, Soacha, Medellín, Pasto, Bucaramanga y Cartagena. Sostuvimos, además, mesas técnicas permanentes con la Red Nacional de Acueductos Comunitarios y con organizaciones de todo el país.</w:t>
      </w:r>
    </w:p>
    <w:p w:rsidR="000C0802" w:rsidRPr="00EC13E1" w:rsidRDefault="00C94143" w:rsidP="00EC13E1">
      <w:pPr>
        <w:spacing w:after="120"/>
        <w:jc w:val="both"/>
        <w:rPr>
          <w:rFonts w:ascii="Arial" w:hAnsi="Arial" w:cs="Arial"/>
          <w:color w:val="000000" w:themeColor="text1"/>
          <w:sz w:val="22"/>
          <w:szCs w:val="22"/>
        </w:rPr>
      </w:pPr>
      <w:r w:rsidRPr="00EC13E1">
        <w:rPr>
          <w:rFonts w:ascii="Arial" w:hAnsi="Arial" w:cs="Arial"/>
          <w:color w:val="000000" w:themeColor="text1"/>
          <w:sz w:val="22"/>
          <w:szCs w:val="22"/>
        </w:rPr>
        <w:t>Cerramos la consulta el 21 de febrero de 2026, y en total recibimos 1.746 observaciones de prestadores, gestores comunitarios, entidades, academia y ciudadanía. El diálogo territorial no fue un trámite: fue el insumo directo de las decisiones regulatorias que hoy presentamos.</w:t>
      </w:r>
    </w:p>
    <w:p w:rsidR="000C0802" w:rsidRPr="00EC13E1" w:rsidRDefault="00C94143" w:rsidP="00EC13E1">
      <w:pPr>
        <w:pStyle w:val="Ttulo1"/>
        <w:spacing w:after="120"/>
        <w:jc w:val="both"/>
        <w:rPr>
          <w:rFonts w:ascii="Arial" w:hAnsi="Arial" w:cs="Arial"/>
          <w:color w:val="000000" w:themeColor="text1"/>
          <w:sz w:val="22"/>
          <w:szCs w:val="22"/>
        </w:rPr>
      </w:pPr>
      <w:r w:rsidRPr="00EC13E1">
        <w:rPr>
          <w:rFonts w:ascii="Arial" w:hAnsi="Arial" w:cs="Arial"/>
          <w:b/>
          <w:bCs/>
          <w:color w:val="000000" w:themeColor="text1"/>
          <w:sz w:val="22"/>
          <w:szCs w:val="22"/>
        </w:rPr>
        <w:t>Diapositiva 5. Una participación incidente</w:t>
      </w:r>
    </w:p>
    <w:p w:rsidR="000C0802" w:rsidRPr="00EC13E1" w:rsidRDefault="00C94143" w:rsidP="00EC13E1">
      <w:pPr>
        <w:spacing w:after="120"/>
        <w:jc w:val="both"/>
        <w:rPr>
          <w:rFonts w:ascii="Arial" w:hAnsi="Arial" w:cs="Arial"/>
          <w:color w:val="000000" w:themeColor="text1"/>
          <w:sz w:val="22"/>
          <w:szCs w:val="22"/>
        </w:rPr>
      </w:pPr>
      <w:r w:rsidRPr="00EC13E1">
        <w:rPr>
          <w:rFonts w:ascii="Arial" w:hAnsi="Arial" w:cs="Arial"/>
          <w:color w:val="000000" w:themeColor="text1"/>
          <w:sz w:val="22"/>
          <w:szCs w:val="22"/>
        </w:rPr>
        <w:t>¿Y qué hicimos con esas 1.746 observaciones? Las respondimos todas. Aceptamos 1.001, aclaramos 698 y rechazamos 47.</w:t>
      </w:r>
    </w:p>
    <w:p w:rsidR="000C0802" w:rsidRPr="00EC13E1" w:rsidRDefault="00C94143" w:rsidP="00EC13E1">
      <w:pPr>
        <w:spacing w:after="120"/>
        <w:jc w:val="both"/>
        <w:rPr>
          <w:rFonts w:ascii="Arial" w:hAnsi="Arial" w:cs="Arial"/>
          <w:color w:val="000000" w:themeColor="text1"/>
          <w:sz w:val="22"/>
          <w:szCs w:val="22"/>
        </w:rPr>
      </w:pPr>
      <w:r w:rsidRPr="00EC13E1">
        <w:rPr>
          <w:rFonts w:ascii="Arial" w:hAnsi="Arial" w:cs="Arial"/>
          <w:color w:val="000000" w:themeColor="text1"/>
          <w:sz w:val="22"/>
          <w:szCs w:val="22"/>
        </w:rPr>
        <w:t>Quiero destacar el cambio más emblemático de todo el proceso: el 64 % de las observaciones presentadas por los gestores comunitarios solicitó expresamente pasar a un régimen de libertad vigilada. La Comisión escuchó esa solicitud y la acogió: el segundo segmento, que inicialmente se había propuesto bajo libertad regulada, pasó a libertad vigilada.</w:t>
      </w:r>
    </w:p>
    <w:p w:rsidR="000C0802" w:rsidRPr="00EC13E1" w:rsidRDefault="00C94143" w:rsidP="00EC13E1">
      <w:pPr>
        <w:spacing w:after="120"/>
        <w:jc w:val="both"/>
        <w:rPr>
          <w:rFonts w:ascii="Arial" w:hAnsi="Arial" w:cs="Arial"/>
          <w:color w:val="000000" w:themeColor="text1"/>
          <w:sz w:val="22"/>
          <w:szCs w:val="22"/>
        </w:rPr>
      </w:pPr>
      <w:r w:rsidRPr="00EC13E1">
        <w:rPr>
          <w:rFonts w:ascii="Arial" w:hAnsi="Arial" w:cs="Arial"/>
          <w:color w:val="000000" w:themeColor="text1"/>
          <w:sz w:val="22"/>
          <w:szCs w:val="22"/>
        </w:rPr>
        <w:t>Esto no es un detalle menor. Significa que la participación modificó de manera sustancial el contenido de la propuesta regulatoria. Este marco no se construyó sobre las comunidades: se construyó con ellas.</w:t>
      </w:r>
    </w:p>
    <w:p w:rsidR="000C0802" w:rsidRPr="00EC13E1" w:rsidRDefault="00C94143" w:rsidP="00EC13E1">
      <w:pPr>
        <w:pStyle w:val="Ttulo1"/>
        <w:spacing w:after="120"/>
        <w:jc w:val="both"/>
        <w:rPr>
          <w:rFonts w:ascii="Arial" w:hAnsi="Arial" w:cs="Arial"/>
          <w:color w:val="000000" w:themeColor="text1"/>
          <w:sz w:val="22"/>
          <w:szCs w:val="22"/>
        </w:rPr>
      </w:pPr>
      <w:r w:rsidRPr="00EC13E1">
        <w:rPr>
          <w:rFonts w:ascii="Arial" w:hAnsi="Arial" w:cs="Arial"/>
          <w:b/>
          <w:bCs/>
          <w:color w:val="000000" w:themeColor="text1"/>
          <w:sz w:val="22"/>
          <w:szCs w:val="22"/>
        </w:rPr>
        <w:t>Diapositiva 6. Regulación diferenciada: dos segmentos, dos regímenes</w:t>
      </w:r>
    </w:p>
    <w:p w:rsidR="000C0802" w:rsidRPr="00EC13E1" w:rsidRDefault="00C94143" w:rsidP="00EC13E1">
      <w:pPr>
        <w:spacing w:after="120"/>
        <w:jc w:val="both"/>
        <w:rPr>
          <w:rFonts w:ascii="Arial" w:hAnsi="Arial" w:cs="Arial"/>
          <w:color w:val="000000" w:themeColor="text1"/>
          <w:sz w:val="22"/>
          <w:szCs w:val="22"/>
        </w:rPr>
      </w:pPr>
      <w:r w:rsidRPr="00EC13E1">
        <w:rPr>
          <w:rFonts w:ascii="Arial" w:hAnsi="Arial" w:cs="Arial"/>
          <w:color w:val="000000" w:themeColor="text1"/>
          <w:sz w:val="22"/>
          <w:szCs w:val="22"/>
        </w:rPr>
        <w:t>El corazón técnico de esta regulación es la diferenciación entre dos segmentos, con dos regímenes distintos.</w:t>
      </w:r>
    </w:p>
    <w:p w:rsidR="000C0802" w:rsidRPr="00EC13E1" w:rsidRDefault="00C94143" w:rsidP="00EC13E1">
      <w:pPr>
        <w:spacing w:after="120"/>
        <w:jc w:val="both"/>
        <w:rPr>
          <w:rFonts w:ascii="Arial" w:hAnsi="Arial" w:cs="Arial"/>
          <w:color w:val="000000" w:themeColor="text1"/>
          <w:sz w:val="22"/>
          <w:szCs w:val="22"/>
        </w:rPr>
      </w:pPr>
      <w:r w:rsidRPr="00EC13E1">
        <w:rPr>
          <w:rFonts w:ascii="Arial" w:hAnsi="Arial" w:cs="Arial"/>
          <w:color w:val="000000" w:themeColor="text1"/>
          <w:sz w:val="22"/>
          <w:szCs w:val="22"/>
        </w:rPr>
        <w:t xml:space="preserve">El primer segmento corresponde a los pequeños prestadores, bajo libertad regulada. Su tarifa se determina con la metodología y las fórmulas definidas por la Comisión, con una tasa de remuneración </w:t>
      </w:r>
      <w:proofErr w:type="gramStart"/>
      <w:r w:rsidRPr="00EC13E1">
        <w:rPr>
          <w:rFonts w:ascii="Arial" w:hAnsi="Arial" w:cs="Arial"/>
          <w:color w:val="000000" w:themeColor="text1"/>
          <w:sz w:val="22"/>
          <w:szCs w:val="22"/>
        </w:rPr>
        <w:t>del capital diferenciada</w:t>
      </w:r>
      <w:proofErr w:type="gramEnd"/>
      <w:r w:rsidRPr="00EC13E1">
        <w:rPr>
          <w:rFonts w:ascii="Arial" w:hAnsi="Arial" w:cs="Arial"/>
          <w:color w:val="000000" w:themeColor="text1"/>
          <w:sz w:val="22"/>
          <w:szCs w:val="22"/>
        </w:rPr>
        <w:t xml:space="preserve"> según la escala del prestador, reconocimiento de costos eficientes —de modo que la mejora en la gestión se traduzca en mayor reconocimiento tarifario— y estándares de cobertura, reducción de pérdidas, micromedición y </w:t>
      </w:r>
      <w:bookmarkStart w:id="0" w:name="_GoBack"/>
      <w:bookmarkEnd w:id="0"/>
      <w:r w:rsidRPr="00EC13E1">
        <w:rPr>
          <w:rFonts w:ascii="Arial" w:hAnsi="Arial" w:cs="Arial"/>
          <w:color w:val="000000" w:themeColor="text1"/>
          <w:sz w:val="22"/>
          <w:szCs w:val="22"/>
        </w:rPr>
        <w:t>PSMV aprobado.</w:t>
      </w:r>
    </w:p>
    <w:p w:rsidR="000C0802" w:rsidRPr="00EC13E1" w:rsidRDefault="00C94143" w:rsidP="00EC13E1">
      <w:pPr>
        <w:spacing w:after="120"/>
        <w:jc w:val="both"/>
        <w:rPr>
          <w:rFonts w:ascii="Arial" w:hAnsi="Arial" w:cs="Arial"/>
          <w:color w:val="000000" w:themeColor="text1"/>
          <w:sz w:val="22"/>
          <w:szCs w:val="22"/>
        </w:rPr>
      </w:pPr>
      <w:r w:rsidRPr="00EC13E1">
        <w:rPr>
          <w:rFonts w:ascii="Arial" w:hAnsi="Arial" w:cs="Arial"/>
          <w:color w:val="000000" w:themeColor="text1"/>
          <w:sz w:val="22"/>
          <w:szCs w:val="22"/>
        </w:rPr>
        <w:t>El segundo segmento corresponde a los gestores comunitarios, bajo libertad vigilada. Aquí la Asamblea General es la entidad tarifaria local: es la comunidad la que aprueba su presupuesto y adopta su propia tarifa comunitaria, con la obligación de elaborar y reportar el estudio de costos correspondiente. La aplicación de los estándares es gradual, y la acompañamos con dos instrumentos: la ruta de autodiagnóstico y el Plan de Gestión. La SSPD conserva la inspección, vigilancia y control, y la CRA puede disponer, con debido proceso, el tránsito a libertad regulada cuando corresponda.</w:t>
      </w:r>
    </w:p>
    <w:p w:rsidR="000C0802" w:rsidRPr="00EC13E1" w:rsidRDefault="00C94143" w:rsidP="00EC13E1">
      <w:pPr>
        <w:spacing w:after="120"/>
        <w:jc w:val="both"/>
        <w:rPr>
          <w:rFonts w:ascii="Arial" w:hAnsi="Arial" w:cs="Arial"/>
          <w:color w:val="000000" w:themeColor="text1"/>
          <w:sz w:val="22"/>
          <w:szCs w:val="22"/>
        </w:rPr>
      </w:pPr>
      <w:r w:rsidRPr="00EC13E1">
        <w:rPr>
          <w:rFonts w:ascii="Arial" w:hAnsi="Arial" w:cs="Arial"/>
          <w:color w:val="000000" w:themeColor="text1"/>
          <w:sz w:val="22"/>
          <w:szCs w:val="22"/>
        </w:rPr>
        <w:t>Dos realidades distintas merecían dos regímenes distintos, y eso es exactamente lo que construimos.</w:t>
      </w:r>
    </w:p>
    <w:p w:rsidR="000C0802" w:rsidRPr="00EC13E1" w:rsidRDefault="00C94143" w:rsidP="00EC13E1">
      <w:pPr>
        <w:pStyle w:val="Ttulo1"/>
        <w:spacing w:after="120"/>
        <w:jc w:val="both"/>
        <w:rPr>
          <w:rFonts w:ascii="Arial" w:hAnsi="Arial" w:cs="Arial"/>
          <w:color w:val="000000" w:themeColor="text1"/>
          <w:sz w:val="22"/>
          <w:szCs w:val="22"/>
        </w:rPr>
      </w:pPr>
      <w:r w:rsidRPr="00EC13E1">
        <w:rPr>
          <w:rFonts w:ascii="Arial" w:hAnsi="Arial" w:cs="Arial"/>
          <w:b/>
          <w:bCs/>
          <w:color w:val="000000" w:themeColor="text1"/>
          <w:sz w:val="22"/>
          <w:szCs w:val="22"/>
        </w:rPr>
        <w:t>Diapositiva 7. Los esquemas diferenciales se integran al marco</w:t>
      </w:r>
    </w:p>
    <w:p w:rsidR="000C0802" w:rsidRPr="00EC13E1" w:rsidRDefault="00C94143" w:rsidP="00EC13E1">
      <w:pPr>
        <w:spacing w:after="120"/>
        <w:jc w:val="both"/>
        <w:rPr>
          <w:rFonts w:ascii="Arial" w:hAnsi="Arial" w:cs="Arial"/>
          <w:color w:val="000000" w:themeColor="text1"/>
          <w:sz w:val="22"/>
          <w:szCs w:val="22"/>
        </w:rPr>
      </w:pPr>
      <w:r w:rsidRPr="00EC13E1">
        <w:rPr>
          <w:rFonts w:ascii="Arial" w:hAnsi="Arial" w:cs="Arial"/>
          <w:color w:val="000000" w:themeColor="text1"/>
          <w:sz w:val="22"/>
          <w:szCs w:val="22"/>
        </w:rPr>
        <w:t>Este nuevo marco no reemplaza los esquemas diferenciales que ya existían: los integra, para que dejen de ser un régimen paralelo y se conviertan en parte orgánica de la metodología.</w:t>
      </w:r>
    </w:p>
    <w:p w:rsidR="000C0802" w:rsidRPr="00EC13E1" w:rsidRDefault="00C94143" w:rsidP="00EC13E1">
      <w:pPr>
        <w:spacing w:after="120"/>
        <w:jc w:val="both"/>
        <w:rPr>
          <w:rFonts w:ascii="Arial" w:hAnsi="Arial" w:cs="Arial"/>
          <w:color w:val="000000" w:themeColor="text1"/>
          <w:sz w:val="22"/>
          <w:szCs w:val="22"/>
        </w:rPr>
      </w:pPr>
      <w:r w:rsidRPr="00EC13E1">
        <w:rPr>
          <w:rFonts w:ascii="Arial" w:hAnsi="Arial" w:cs="Arial"/>
          <w:color w:val="000000" w:themeColor="text1"/>
          <w:sz w:val="22"/>
          <w:szCs w:val="22"/>
        </w:rPr>
        <w:t xml:space="preserve">En el ámbito rural, el Decreto 1272 de 2017, sobre áreas de difícil gestión y zonas de difícil acceso, opera ahora como una opción temporal dentro del marco. En el ámbito urbano, el Decreto 1898 de 2016 define metas para el </w:t>
      </w:r>
      <w:proofErr w:type="spellStart"/>
      <w:r w:rsidRPr="00EC13E1">
        <w:rPr>
          <w:rFonts w:ascii="Arial" w:hAnsi="Arial" w:cs="Arial"/>
          <w:color w:val="000000" w:themeColor="text1"/>
          <w:sz w:val="22"/>
          <w:szCs w:val="22"/>
        </w:rPr>
        <w:t>subsegmento</w:t>
      </w:r>
      <w:proofErr w:type="spellEnd"/>
      <w:r w:rsidRPr="00EC13E1">
        <w:rPr>
          <w:rFonts w:ascii="Arial" w:hAnsi="Arial" w:cs="Arial"/>
          <w:color w:val="000000" w:themeColor="text1"/>
          <w:sz w:val="22"/>
          <w:szCs w:val="22"/>
        </w:rPr>
        <w:t xml:space="preserve"> 4 de gestores comunitarios, con inversiones proyectadas a diez años.</w:t>
      </w:r>
    </w:p>
    <w:p w:rsidR="000C0802" w:rsidRPr="00EC13E1" w:rsidRDefault="00C94143" w:rsidP="00EC13E1">
      <w:pPr>
        <w:spacing w:after="120"/>
        <w:jc w:val="both"/>
        <w:rPr>
          <w:rFonts w:ascii="Arial" w:hAnsi="Arial" w:cs="Arial"/>
          <w:color w:val="000000" w:themeColor="text1"/>
          <w:sz w:val="22"/>
          <w:szCs w:val="22"/>
        </w:rPr>
      </w:pPr>
      <w:r w:rsidRPr="00EC13E1">
        <w:rPr>
          <w:rFonts w:ascii="Arial" w:hAnsi="Arial" w:cs="Arial"/>
          <w:color w:val="000000" w:themeColor="text1"/>
          <w:sz w:val="22"/>
          <w:szCs w:val="22"/>
        </w:rPr>
        <w:lastRenderedPageBreak/>
        <w:t xml:space="preserve">Simplificamos el seguimiento en dos indicadores —continuidad y micromedición—, con horizontes definidos por </w:t>
      </w:r>
      <w:proofErr w:type="spellStart"/>
      <w:r w:rsidRPr="00EC13E1">
        <w:rPr>
          <w:rFonts w:ascii="Arial" w:hAnsi="Arial" w:cs="Arial"/>
          <w:color w:val="000000" w:themeColor="text1"/>
          <w:sz w:val="22"/>
          <w:szCs w:val="22"/>
        </w:rPr>
        <w:t>subsegmento</w:t>
      </w:r>
      <w:proofErr w:type="spellEnd"/>
      <w:r w:rsidRPr="00EC13E1">
        <w:rPr>
          <w:rFonts w:ascii="Arial" w:hAnsi="Arial" w:cs="Arial"/>
          <w:color w:val="000000" w:themeColor="text1"/>
          <w:sz w:val="22"/>
          <w:szCs w:val="22"/>
        </w:rPr>
        <w:t>. Y el Plan de Gestión del Esquema Diferencial queda articulado con el tablero de seguimiento, para que no exista doble exigencia documental.</w:t>
      </w:r>
    </w:p>
    <w:p w:rsidR="000C0802" w:rsidRPr="00EC13E1" w:rsidRDefault="00C94143" w:rsidP="00EC13E1">
      <w:pPr>
        <w:pStyle w:val="Ttulo1"/>
        <w:spacing w:after="120"/>
        <w:jc w:val="both"/>
        <w:rPr>
          <w:rFonts w:ascii="Arial" w:hAnsi="Arial" w:cs="Arial"/>
          <w:color w:val="000000" w:themeColor="text1"/>
          <w:sz w:val="22"/>
          <w:szCs w:val="22"/>
        </w:rPr>
      </w:pPr>
      <w:r w:rsidRPr="00EC13E1">
        <w:rPr>
          <w:rFonts w:ascii="Arial" w:hAnsi="Arial" w:cs="Arial"/>
          <w:b/>
          <w:bCs/>
          <w:color w:val="000000" w:themeColor="text1"/>
          <w:sz w:val="22"/>
          <w:szCs w:val="22"/>
        </w:rPr>
        <w:t>Diapositiva 8. Cinco hitos de la nueva regulación</w:t>
      </w:r>
    </w:p>
    <w:p w:rsidR="000C0802" w:rsidRPr="00EC13E1" w:rsidRDefault="00C94143" w:rsidP="00EC13E1">
      <w:pPr>
        <w:spacing w:after="120"/>
        <w:jc w:val="both"/>
        <w:rPr>
          <w:rFonts w:ascii="Arial" w:hAnsi="Arial" w:cs="Arial"/>
          <w:color w:val="000000" w:themeColor="text1"/>
          <w:sz w:val="22"/>
          <w:szCs w:val="22"/>
        </w:rPr>
      </w:pPr>
      <w:r w:rsidRPr="00EC13E1">
        <w:rPr>
          <w:rFonts w:ascii="Arial" w:hAnsi="Arial" w:cs="Arial"/>
          <w:color w:val="000000" w:themeColor="text1"/>
          <w:sz w:val="22"/>
          <w:szCs w:val="22"/>
        </w:rPr>
        <w:t>Quiero resumir esta regulación en cinco hitos.</w:t>
      </w:r>
    </w:p>
    <w:p w:rsidR="000C0802" w:rsidRPr="00EC13E1" w:rsidRDefault="00C94143" w:rsidP="00EC13E1">
      <w:pPr>
        <w:spacing w:after="120"/>
        <w:jc w:val="both"/>
        <w:rPr>
          <w:rFonts w:ascii="Arial" w:hAnsi="Arial" w:cs="Arial"/>
          <w:color w:val="000000" w:themeColor="text1"/>
          <w:sz w:val="22"/>
          <w:szCs w:val="22"/>
        </w:rPr>
      </w:pPr>
      <w:r w:rsidRPr="00EC13E1">
        <w:rPr>
          <w:rFonts w:ascii="Arial" w:hAnsi="Arial" w:cs="Arial"/>
          <w:color w:val="000000" w:themeColor="text1"/>
          <w:sz w:val="22"/>
          <w:szCs w:val="22"/>
        </w:rPr>
        <w:t>Primero, el reconocimiento regulatorio de los gestores comunitarios: por primera vez cuentan con una regulación propia, ajustada a su naturaleza solidaria, sin ánimo de lucro y de autogestión.</w:t>
      </w:r>
    </w:p>
    <w:p w:rsidR="000C0802" w:rsidRPr="00EC13E1" w:rsidRDefault="00C94143" w:rsidP="00EC13E1">
      <w:pPr>
        <w:spacing w:after="120"/>
        <w:jc w:val="both"/>
        <w:rPr>
          <w:rFonts w:ascii="Arial" w:hAnsi="Arial" w:cs="Arial"/>
          <w:color w:val="000000" w:themeColor="text1"/>
          <w:sz w:val="22"/>
          <w:szCs w:val="22"/>
        </w:rPr>
      </w:pPr>
      <w:r w:rsidRPr="00EC13E1">
        <w:rPr>
          <w:rFonts w:ascii="Arial" w:hAnsi="Arial" w:cs="Arial"/>
          <w:color w:val="000000" w:themeColor="text1"/>
          <w:sz w:val="22"/>
          <w:szCs w:val="22"/>
        </w:rPr>
        <w:t>Segundo, equidad territorial y enfoque de paz, con reglas, estándares y metas diferenciales para la ruralidad, los territorios insulares, las zonas vulnerables y los municipios PDET y ZOMAC.</w:t>
      </w:r>
    </w:p>
    <w:p w:rsidR="000C0802" w:rsidRPr="00EC13E1" w:rsidRDefault="00C94143" w:rsidP="00EC13E1">
      <w:pPr>
        <w:spacing w:after="120"/>
        <w:jc w:val="both"/>
        <w:rPr>
          <w:rFonts w:ascii="Arial" w:hAnsi="Arial" w:cs="Arial"/>
          <w:color w:val="000000" w:themeColor="text1"/>
          <w:sz w:val="22"/>
          <w:szCs w:val="22"/>
        </w:rPr>
      </w:pPr>
      <w:r w:rsidRPr="00EC13E1">
        <w:rPr>
          <w:rFonts w:ascii="Arial" w:hAnsi="Arial" w:cs="Arial"/>
          <w:color w:val="000000" w:themeColor="text1"/>
          <w:sz w:val="22"/>
          <w:szCs w:val="22"/>
        </w:rPr>
        <w:t>Tercero, la garantía de no retroceso: los niveles de prestación ya alcanzados no podrán ser desmejorados.</w:t>
      </w:r>
    </w:p>
    <w:p w:rsidR="000C0802" w:rsidRPr="00EC13E1" w:rsidRDefault="00C94143" w:rsidP="00EC13E1">
      <w:pPr>
        <w:spacing w:after="120"/>
        <w:jc w:val="both"/>
        <w:rPr>
          <w:rFonts w:ascii="Arial" w:hAnsi="Arial" w:cs="Arial"/>
          <w:color w:val="000000" w:themeColor="text1"/>
          <w:sz w:val="22"/>
          <w:szCs w:val="22"/>
        </w:rPr>
      </w:pPr>
      <w:r w:rsidRPr="00EC13E1">
        <w:rPr>
          <w:rFonts w:ascii="Arial" w:hAnsi="Arial" w:cs="Arial"/>
          <w:color w:val="000000" w:themeColor="text1"/>
          <w:sz w:val="22"/>
          <w:szCs w:val="22"/>
        </w:rPr>
        <w:t>Cuarto, sostenibilidad hídrica y acción climática, con protección de cuencas y fuentes, reducción de pérdidas y reconocimiento de costos ambientales, en línea con el ODS 6.</w:t>
      </w:r>
    </w:p>
    <w:p w:rsidR="000C0802" w:rsidRPr="00EC13E1" w:rsidRDefault="00C94143" w:rsidP="00EC13E1">
      <w:pPr>
        <w:spacing w:after="120"/>
        <w:jc w:val="both"/>
        <w:rPr>
          <w:rFonts w:ascii="Arial" w:hAnsi="Arial" w:cs="Arial"/>
          <w:color w:val="000000" w:themeColor="text1"/>
          <w:sz w:val="22"/>
          <w:szCs w:val="22"/>
        </w:rPr>
      </w:pPr>
      <w:r w:rsidRPr="00EC13E1">
        <w:rPr>
          <w:rFonts w:ascii="Arial" w:hAnsi="Arial" w:cs="Arial"/>
          <w:color w:val="000000" w:themeColor="text1"/>
          <w:sz w:val="22"/>
          <w:szCs w:val="22"/>
        </w:rPr>
        <w:t>Y quinto, el aval de la autoridad de competencia: la Superintendencia de Industria y Comercio conceptuó, el 19 de junio de 2026, que el trato diferenciado es razonable y proporcional, y que la libertad vigilada no implica ausencia de regulación.</w:t>
      </w:r>
    </w:p>
    <w:p w:rsidR="000C0802" w:rsidRPr="00EC13E1" w:rsidRDefault="00C94143" w:rsidP="00EC13E1">
      <w:pPr>
        <w:pStyle w:val="Ttulo1"/>
        <w:spacing w:after="120"/>
        <w:jc w:val="both"/>
        <w:rPr>
          <w:rFonts w:ascii="Arial" w:hAnsi="Arial" w:cs="Arial"/>
          <w:color w:val="000000" w:themeColor="text1"/>
          <w:sz w:val="22"/>
          <w:szCs w:val="22"/>
        </w:rPr>
      </w:pPr>
      <w:r w:rsidRPr="00EC13E1">
        <w:rPr>
          <w:rFonts w:ascii="Arial" w:hAnsi="Arial" w:cs="Arial"/>
          <w:b/>
          <w:bCs/>
          <w:color w:val="000000" w:themeColor="text1"/>
          <w:sz w:val="22"/>
          <w:szCs w:val="22"/>
        </w:rPr>
        <w:t>Diapositiva 9. Reconocimientos transversales del marco</w:t>
      </w:r>
    </w:p>
    <w:p w:rsidR="000C0802" w:rsidRPr="00EC13E1" w:rsidRDefault="00C94143" w:rsidP="00EC13E1">
      <w:pPr>
        <w:spacing w:after="120"/>
        <w:jc w:val="both"/>
        <w:rPr>
          <w:rFonts w:ascii="Arial" w:hAnsi="Arial" w:cs="Arial"/>
          <w:color w:val="000000" w:themeColor="text1"/>
          <w:sz w:val="22"/>
          <w:szCs w:val="22"/>
        </w:rPr>
      </w:pPr>
      <w:r w:rsidRPr="00EC13E1">
        <w:rPr>
          <w:rFonts w:ascii="Arial" w:hAnsi="Arial" w:cs="Arial"/>
          <w:color w:val="000000" w:themeColor="text1"/>
          <w:sz w:val="22"/>
          <w:szCs w:val="22"/>
        </w:rPr>
        <w:t>Hay dos reconocimientos que atraviesan todo el marco, independientemente del segmento.</w:t>
      </w:r>
    </w:p>
    <w:p w:rsidR="000C0802" w:rsidRPr="00EC13E1" w:rsidRDefault="00C94143" w:rsidP="00EC13E1">
      <w:pPr>
        <w:spacing w:after="120"/>
        <w:jc w:val="both"/>
        <w:rPr>
          <w:rFonts w:ascii="Arial" w:hAnsi="Arial" w:cs="Arial"/>
          <w:color w:val="000000" w:themeColor="text1"/>
          <w:sz w:val="22"/>
          <w:szCs w:val="22"/>
        </w:rPr>
      </w:pPr>
      <w:r w:rsidRPr="00EC13E1">
        <w:rPr>
          <w:rFonts w:ascii="Arial" w:hAnsi="Arial" w:cs="Arial"/>
          <w:color w:val="000000" w:themeColor="text1"/>
          <w:sz w:val="22"/>
          <w:szCs w:val="22"/>
        </w:rPr>
        <w:t>El primero es el aporte comunitario: el trabajo, las mingas y los bienes que la comunidad pone al servicio del acueducto se hacen visibles ahora mediante figuras regulatorias específicas, y dejan de ser un esfuerzo invisible para la regulación.</w:t>
      </w:r>
    </w:p>
    <w:p w:rsidR="000C0802" w:rsidRPr="00EC13E1" w:rsidRDefault="00C94143" w:rsidP="00EC13E1">
      <w:pPr>
        <w:spacing w:after="120"/>
        <w:jc w:val="both"/>
        <w:rPr>
          <w:rFonts w:ascii="Arial" w:hAnsi="Arial" w:cs="Arial"/>
          <w:color w:val="000000" w:themeColor="text1"/>
          <w:sz w:val="22"/>
          <w:szCs w:val="22"/>
        </w:rPr>
      </w:pPr>
      <w:r w:rsidRPr="00EC13E1">
        <w:rPr>
          <w:rFonts w:ascii="Arial" w:hAnsi="Arial" w:cs="Arial"/>
          <w:color w:val="000000" w:themeColor="text1"/>
          <w:sz w:val="22"/>
          <w:szCs w:val="22"/>
        </w:rPr>
        <w:t>El segundo es el mínimo vital de agua: cincuenta litros por persona al día para consumo humano, en ambos segmentos, orientado a garantizar las necesidades básicas y una vida digna.</w:t>
      </w:r>
    </w:p>
    <w:p w:rsidR="000C0802" w:rsidRPr="00EC13E1" w:rsidRDefault="00C94143" w:rsidP="00EC13E1">
      <w:pPr>
        <w:pStyle w:val="Ttulo1"/>
        <w:spacing w:after="120"/>
        <w:jc w:val="both"/>
        <w:rPr>
          <w:rFonts w:ascii="Arial" w:hAnsi="Arial" w:cs="Arial"/>
          <w:color w:val="000000" w:themeColor="text1"/>
          <w:sz w:val="22"/>
          <w:szCs w:val="22"/>
        </w:rPr>
      </w:pPr>
      <w:r w:rsidRPr="00EC13E1">
        <w:rPr>
          <w:rFonts w:ascii="Arial" w:hAnsi="Arial" w:cs="Arial"/>
          <w:b/>
          <w:bCs/>
          <w:color w:val="000000" w:themeColor="text1"/>
          <w:sz w:val="22"/>
          <w:szCs w:val="22"/>
        </w:rPr>
        <w:t>Diapositiva 10. Cinco herramientas para la implementación</w:t>
      </w:r>
    </w:p>
    <w:p w:rsidR="000C0802" w:rsidRPr="00EC13E1" w:rsidRDefault="00C94143" w:rsidP="00EC13E1">
      <w:pPr>
        <w:spacing w:after="120"/>
        <w:jc w:val="both"/>
        <w:rPr>
          <w:rFonts w:ascii="Arial" w:hAnsi="Arial" w:cs="Arial"/>
          <w:color w:val="000000" w:themeColor="text1"/>
          <w:sz w:val="22"/>
          <w:szCs w:val="22"/>
        </w:rPr>
      </w:pPr>
      <w:r w:rsidRPr="00EC13E1">
        <w:rPr>
          <w:rFonts w:ascii="Arial" w:hAnsi="Arial" w:cs="Arial"/>
          <w:color w:val="000000" w:themeColor="text1"/>
          <w:sz w:val="22"/>
          <w:szCs w:val="22"/>
        </w:rPr>
        <w:t>Una buena regulación no basta si no viene acompañada de herramientas para aplicarla. Por eso ponemos a disposición cinco instrumentos.</w:t>
      </w:r>
    </w:p>
    <w:p w:rsidR="000C0802" w:rsidRPr="00EC13E1" w:rsidRDefault="00C94143" w:rsidP="00EC13E1">
      <w:pPr>
        <w:spacing w:after="120"/>
        <w:jc w:val="both"/>
        <w:rPr>
          <w:rFonts w:ascii="Arial" w:hAnsi="Arial" w:cs="Arial"/>
          <w:color w:val="000000" w:themeColor="text1"/>
          <w:sz w:val="22"/>
          <w:szCs w:val="22"/>
        </w:rPr>
      </w:pPr>
      <w:r w:rsidRPr="00EC13E1">
        <w:rPr>
          <w:rFonts w:ascii="Arial" w:hAnsi="Arial" w:cs="Arial"/>
          <w:color w:val="000000" w:themeColor="text1"/>
          <w:sz w:val="22"/>
          <w:szCs w:val="22"/>
        </w:rPr>
        <w:t>Las Guías de Aplicación: dos guías en lenguaje sencillo, una para pequeños prestadores y otra para gestores comunitarios, nutridas de todo el proceso de participación.</w:t>
      </w:r>
    </w:p>
    <w:p w:rsidR="000C0802" w:rsidRPr="00EC13E1" w:rsidRDefault="00C94143" w:rsidP="00EC13E1">
      <w:pPr>
        <w:spacing w:after="120"/>
        <w:jc w:val="both"/>
        <w:rPr>
          <w:rFonts w:ascii="Arial" w:hAnsi="Arial" w:cs="Arial"/>
          <w:color w:val="000000" w:themeColor="text1"/>
          <w:sz w:val="22"/>
          <w:szCs w:val="22"/>
        </w:rPr>
      </w:pPr>
      <w:r w:rsidRPr="00EC13E1">
        <w:rPr>
          <w:rFonts w:ascii="Arial" w:hAnsi="Arial" w:cs="Arial"/>
          <w:color w:val="000000" w:themeColor="text1"/>
          <w:sz w:val="22"/>
          <w:szCs w:val="22"/>
        </w:rPr>
        <w:t>TARICRA, el tarificador de la Comisión, para que el cálculo de la tarifa deje de ser un obstáculo en la aplicación de la metodología.</w:t>
      </w:r>
    </w:p>
    <w:p w:rsidR="000C0802" w:rsidRPr="00EC13E1" w:rsidRDefault="00C94143" w:rsidP="00EC13E1">
      <w:pPr>
        <w:spacing w:after="120"/>
        <w:jc w:val="both"/>
        <w:rPr>
          <w:rFonts w:ascii="Arial" w:hAnsi="Arial" w:cs="Arial"/>
          <w:color w:val="000000" w:themeColor="text1"/>
          <w:sz w:val="22"/>
          <w:szCs w:val="22"/>
        </w:rPr>
      </w:pPr>
      <w:r w:rsidRPr="00EC13E1">
        <w:rPr>
          <w:rFonts w:ascii="Arial" w:hAnsi="Arial" w:cs="Arial"/>
          <w:color w:val="000000" w:themeColor="text1"/>
          <w:sz w:val="22"/>
          <w:szCs w:val="22"/>
        </w:rPr>
        <w:t>Sabia, nuestro asistente virtual de inteligencia artificial, entrenado con el Nuevo Marco Tarifario y disponible en la página web de la entidad.</w:t>
      </w:r>
    </w:p>
    <w:p w:rsidR="000C0802" w:rsidRPr="00EC13E1" w:rsidRDefault="00C94143" w:rsidP="00EC13E1">
      <w:pPr>
        <w:spacing w:after="120"/>
        <w:jc w:val="both"/>
        <w:rPr>
          <w:rFonts w:ascii="Arial" w:hAnsi="Arial" w:cs="Arial"/>
          <w:color w:val="000000" w:themeColor="text1"/>
          <w:sz w:val="22"/>
          <w:szCs w:val="22"/>
        </w:rPr>
      </w:pPr>
      <w:r w:rsidRPr="00EC13E1">
        <w:rPr>
          <w:rFonts w:ascii="Arial" w:hAnsi="Arial" w:cs="Arial"/>
          <w:color w:val="000000" w:themeColor="text1"/>
          <w:sz w:val="22"/>
          <w:szCs w:val="22"/>
        </w:rPr>
        <w:t>Jornadas de capacitación regionales, dirigidas a prestadores, gestores comunitarios y entidades territoriales.</w:t>
      </w:r>
    </w:p>
    <w:p w:rsidR="000C0802" w:rsidRPr="00EC13E1" w:rsidRDefault="00C94143" w:rsidP="00EC13E1">
      <w:pPr>
        <w:spacing w:after="120"/>
        <w:jc w:val="both"/>
        <w:rPr>
          <w:rFonts w:ascii="Arial" w:hAnsi="Arial" w:cs="Arial"/>
          <w:color w:val="000000" w:themeColor="text1"/>
          <w:sz w:val="22"/>
          <w:szCs w:val="22"/>
        </w:rPr>
      </w:pPr>
      <w:r w:rsidRPr="00EC13E1">
        <w:rPr>
          <w:rFonts w:ascii="Arial" w:hAnsi="Arial" w:cs="Arial"/>
          <w:color w:val="000000" w:themeColor="text1"/>
          <w:sz w:val="22"/>
          <w:szCs w:val="22"/>
        </w:rPr>
        <w:t>Y la asesoría técnica directa de la CRA, para resolver dudas de aplicación durante el alistamiento y el primer año tarifario.</w:t>
      </w:r>
    </w:p>
    <w:p w:rsidR="000C0802" w:rsidRPr="00EC13E1" w:rsidRDefault="00C94143" w:rsidP="00EC13E1">
      <w:pPr>
        <w:spacing w:after="120"/>
        <w:jc w:val="both"/>
        <w:rPr>
          <w:rFonts w:ascii="Arial" w:hAnsi="Arial" w:cs="Arial"/>
          <w:color w:val="000000" w:themeColor="text1"/>
          <w:sz w:val="22"/>
          <w:szCs w:val="22"/>
        </w:rPr>
      </w:pPr>
      <w:r w:rsidRPr="00EC13E1">
        <w:rPr>
          <w:rFonts w:ascii="Arial" w:hAnsi="Arial" w:cs="Arial"/>
          <w:color w:val="000000" w:themeColor="text1"/>
          <w:sz w:val="22"/>
          <w:szCs w:val="22"/>
        </w:rPr>
        <w:t>Quiero agradecer, en este punto, el apoyo de la Agencia Española de Cooperación Internacional para el Desarrollo, AECID, que ha acompañado este proceso.</w:t>
      </w:r>
    </w:p>
    <w:p w:rsidR="000C0802" w:rsidRPr="00EC13E1" w:rsidRDefault="00C94143" w:rsidP="00EC13E1">
      <w:pPr>
        <w:pStyle w:val="Ttulo1"/>
        <w:spacing w:after="120"/>
        <w:jc w:val="both"/>
        <w:rPr>
          <w:rFonts w:ascii="Arial" w:hAnsi="Arial" w:cs="Arial"/>
          <w:color w:val="000000" w:themeColor="text1"/>
          <w:sz w:val="22"/>
          <w:szCs w:val="22"/>
        </w:rPr>
      </w:pPr>
      <w:r w:rsidRPr="00EC13E1">
        <w:rPr>
          <w:rFonts w:ascii="Arial" w:hAnsi="Arial" w:cs="Arial"/>
          <w:b/>
          <w:bCs/>
          <w:color w:val="000000" w:themeColor="text1"/>
          <w:sz w:val="22"/>
          <w:szCs w:val="22"/>
        </w:rPr>
        <w:t>Diapositiva 11. Del lanzamiento a la aplicación</w:t>
      </w:r>
    </w:p>
    <w:p w:rsidR="000C0802" w:rsidRPr="00EC13E1" w:rsidRDefault="00C94143" w:rsidP="00EC13E1">
      <w:pPr>
        <w:spacing w:after="120"/>
        <w:jc w:val="both"/>
        <w:rPr>
          <w:rFonts w:ascii="Arial" w:hAnsi="Arial" w:cs="Arial"/>
          <w:color w:val="000000" w:themeColor="text1"/>
          <w:sz w:val="22"/>
          <w:szCs w:val="22"/>
        </w:rPr>
      </w:pPr>
      <w:r w:rsidRPr="00EC13E1">
        <w:rPr>
          <w:rFonts w:ascii="Arial" w:hAnsi="Arial" w:cs="Arial"/>
          <w:color w:val="000000" w:themeColor="text1"/>
          <w:sz w:val="22"/>
          <w:szCs w:val="22"/>
        </w:rPr>
        <w:t>Hoy expedimos la resolución. Entre hoy y el 1.º de enero de 2027 tenemos varios meses de alistamiento. Y a partir de esa fecha comienza la aplicación obligatoria.</w:t>
      </w:r>
    </w:p>
    <w:p w:rsidR="000C0802" w:rsidRPr="00EC13E1" w:rsidRDefault="00C94143" w:rsidP="00EC13E1">
      <w:pPr>
        <w:spacing w:after="120"/>
        <w:jc w:val="both"/>
        <w:rPr>
          <w:rFonts w:ascii="Arial" w:hAnsi="Arial" w:cs="Arial"/>
          <w:color w:val="000000" w:themeColor="text1"/>
          <w:sz w:val="22"/>
          <w:szCs w:val="22"/>
        </w:rPr>
      </w:pPr>
      <w:r w:rsidRPr="00EC13E1">
        <w:rPr>
          <w:rFonts w:ascii="Arial" w:hAnsi="Arial" w:cs="Arial"/>
          <w:color w:val="000000" w:themeColor="text1"/>
          <w:sz w:val="22"/>
          <w:szCs w:val="22"/>
        </w:rPr>
        <w:lastRenderedPageBreak/>
        <w:t>A los prestadores y gestores comunitarios les pido: estudien las Guías de Aplicación, adelanten la ruta de autodiagnóstico, convoquen su asamblea general y consulten a Sabia o acérquense a la Comisión con las dudas que surjan.</w:t>
      </w:r>
    </w:p>
    <w:p w:rsidR="000C0802" w:rsidRPr="00EC13E1" w:rsidRDefault="00C94143" w:rsidP="00EC13E1">
      <w:pPr>
        <w:spacing w:after="120"/>
        <w:jc w:val="both"/>
        <w:rPr>
          <w:rFonts w:ascii="Arial" w:hAnsi="Arial" w:cs="Arial"/>
          <w:color w:val="000000" w:themeColor="text1"/>
          <w:sz w:val="22"/>
          <w:szCs w:val="22"/>
        </w:rPr>
      </w:pPr>
      <w:r w:rsidRPr="00EC13E1">
        <w:rPr>
          <w:rFonts w:ascii="Arial" w:hAnsi="Arial" w:cs="Arial"/>
          <w:color w:val="000000" w:themeColor="text1"/>
          <w:sz w:val="22"/>
          <w:szCs w:val="22"/>
        </w:rPr>
        <w:t>A las entidades territoriales, un llamado especial: acompañen el alistamiento —el registro, el reporte de información, el autodiagnóstico y la formulación del Plan de Gestión— y articulen los Planes Departamentales de Agua con los Planes de Sostenibilidad Hídrica.</w:t>
      </w:r>
    </w:p>
    <w:p w:rsidR="000C0802" w:rsidRPr="00EC13E1" w:rsidRDefault="00C94143" w:rsidP="00EC13E1">
      <w:pPr>
        <w:spacing w:after="120"/>
        <w:jc w:val="both"/>
        <w:rPr>
          <w:rFonts w:ascii="Arial" w:hAnsi="Arial" w:cs="Arial"/>
          <w:color w:val="000000" w:themeColor="text1"/>
          <w:sz w:val="22"/>
          <w:szCs w:val="22"/>
        </w:rPr>
      </w:pPr>
      <w:r w:rsidRPr="00EC13E1">
        <w:rPr>
          <w:rFonts w:ascii="Arial" w:hAnsi="Arial" w:cs="Arial"/>
          <w:color w:val="000000" w:themeColor="text1"/>
          <w:sz w:val="22"/>
          <w:szCs w:val="22"/>
        </w:rPr>
        <w:t>Quiero cerrar esta sección con una idea que resume el sentido de todo el marco: sin protección de la fuente no hay servicio que garantizar, ni tarifa que calcular.</w:t>
      </w:r>
    </w:p>
    <w:p w:rsidR="000C0802" w:rsidRPr="00EC13E1" w:rsidRDefault="00C94143" w:rsidP="00EC13E1">
      <w:pPr>
        <w:pStyle w:val="Ttulo1"/>
        <w:spacing w:after="120"/>
        <w:jc w:val="both"/>
        <w:rPr>
          <w:rFonts w:ascii="Arial" w:hAnsi="Arial" w:cs="Arial"/>
          <w:color w:val="000000" w:themeColor="text1"/>
          <w:sz w:val="22"/>
          <w:szCs w:val="22"/>
        </w:rPr>
      </w:pPr>
      <w:r w:rsidRPr="00EC13E1">
        <w:rPr>
          <w:rFonts w:ascii="Arial" w:hAnsi="Arial" w:cs="Arial"/>
          <w:b/>
          <w:bCs/>
          <w:color w:val="000000" w:themeColor="text1"/>
          <w:sz w:val="22"/>
          <w:szCs w:val="22"/>
        </w:rPr>
        <w:t>Diapositiva 12. Cierre</w:t>
      </w:r>
    </w:p>
    <w:p w:rsidR="000C0802" w:rsidRPr="00EC13E1" w:rsidRDefault="00C94143" w:rsidP="00EC13E1">
      <w:pPr>
        <w:spacing w:after="120"/>
        <w:jc w:val="both"/>
        <w:rPr>
          <w:rFonts w:ascii="Arial" w:hAnsi="Arial" w:cs="Arial"/>
          <w:color w:val="000000" w:themeColor="text1"/>
          <w:sz w:val="22"/>
          <w:szCs w:val="22"/>
        </w:rPr>
      </w:pPr>
      <w:r w:rsidRPr="00EC13E1">
        <w:rPr>
          <w:rFonts w:ascii="Arial" w:hAnsi="Arial" w:cs="Arial"/>
          <w:color w:val="000000" w:themeColor="text1"/>
          <w:sz w:val="22"/>
          <w:szCs w:val="22"/>
        </w:rPr>
        <w:t>Con esto termino la presentación de la Resolución CRA 1038 de 2026. Quiero agradecer a los pequeños prestadores, a los gestores comunitarios, a la Red Nacional de Acueductos Comunitarios, a las entidades territoriales, a la Superintendencia de Servicios Públicos Domiciliarios, a la Agencia Española de Cooperación Internacional para el Desarrollo y a todo el equipo de la CRA que hizo posible este proceso.</w:t>
      </w:r>
    </w:p>
    <w:p w:rsidR="000C0802" w:rsidRPr="00EC13E1" w:rsidRDefault="00C94143" w:rsidP="00EC13E1">
      <w:pPr>
        <w:spacing w:after="120"/>
        <w:jc w:val="both"/>
        <w:rPr>
          <w:rFonts w:ascii="Arial" w:hAnsi="Arial" w:cs="Arial"/>
          <w:color w:val="000000" w:themeColor="text1"/>
          <w:sz w:val="22"/>
          <w:szCs w:val="22"/>
        </w:rPr>
      </w:pPr>
      <w:r w:rsidRPr="00EC13E1">
        <w:rPr>
          <w:rFonts w:ascii="Arial" w:hAnsi="Arial" w:cs="Arial"/>
          <w:color w:val="000000" w:themeColor="text1"/>
          <w:sz w:val="22"/>
          <w:szCs w:val="22"/>
        </w:rPr>
        <w:t>Quedamos a su disposición a través de nuestros canales de atención y en nuestra página web, www.cra.gov.co. Muchas gracias por su atención.</w:t>
      </w:r>
    </w:p>
    <w:sectPr w:rsidR="000C0802" w:rsidRPr="00EC13E1">
      <w:pgSz w:w="12240" w:h="15840"/>
      <w:pgMar w:top="1440" w:right="1440" w:bottom="1440" w:left="1440" w:header="708" w:footer="708"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58A6166"/>
    <w:multiLevelType w:val="hybridMultilevel"/>
    <w:tmpl w:val="A3206BCC"/>
    <w:lvl w:ilvl="0" w:tplc="D68C391C">
      <w:start w:val="1"/>
      <w:numFmt w:val="bullet"/>
      <w:lvlText w:val="●"/>
      <w:lvlJc w:val="left"/>
      <w:pPr>
        <w:ind w:left="720" w:hanging="360"/>
      </w:pPr>
    </w:lvl>
    <w:lvl w:ilvl="1" w:tplc="6B143638">
      <w:start w:val="1"/>
      <w:numFmt w:val="bullet"/>
      <w:lvlText w:val="○"/>
      <w:lvlJc w:val="left"/>
      <w:pPr>
        <w:ind w:left="1440" w:hanging="360"/>
      </w:pPr>
    </w:lvl>
    <w:lvl w:ilvl="2" w:tplc="91BC5B76">
      <w:start w:val="1"/>
      <w:numFmt w:val="bullet"/>
      <w:lvlText w:val="■"/>
      <w:lvlJc w:val="left"/>
      <w:pPr>
        <w:ind w:left="2160" w:hanging="360"/>
      </w:pPr>
    </w:lvl>
    <w:lvl w:ilvl="3" w:tplc="2D9AE828">
      <w:start w:val="1"/>
      <w:numFmt w:val="bullet"/>
      <w:lvlText w:val="●"/>
      <w:lvlJc w:val="left"/>
      <w:pPr>
        <w:ind w:left="2880" w:hanging="360"/>
      </w:pPr>
    </w:lvl>
    <w:lvl w:ilvl="4" w:tplc="E7509F4E">
      <w:start w:val="1"/>
      <w:numFmt w:val="bullet"/>
      <w:lvlText w:val="○"/>
      <w:lvlJc w:val="left"/>
      <w:pPr>
        <w:ind w:left="3600" w:hanging="360"/>
      </w:pPr>
    </w:lvl>
    <w:lvl w:ilvl="5" w:tplc="F58807A6">
      <w:start w:val="1"/>
      <w:numFmt w:val="bullet"/>
      <w:lvlText w:val="■"/>
      <w:lvlJc w:val="left"/>
      <w:pPr>
        <w:ind w:left="4320" w:hanging="360"/>
      </w:pPr>
    </w:lvl>
    <w:lvl w:ilvl="6" w:tplc="D4AA3FE4">
      <w:start w:val="1"/>
      <w:numFmt w:val="bullet"/>
      <w:lvlText w:val="●"/>
      <w:lvlJc w:val="left"/>
      <w:pPr>
        <w:ind w:left="5040" w:hanging="360"/>
      </w:pPr>
    </w:lvl>
    <w:lvl w:ilvl="7" w:tplc="7A348E96">
      <w:start w:val="1"/>
      <w:numFmt w:val="bullet"/>
      <w:lvlText w:val="●"/>
      <w:lvlJc w:val="left"/>
      <w:pPr>
        <w:ind w:left="5760" w:hanging="360"/>
      </w:pPr>
    </w:lvl>
    <w:lvl w:ilvl="8" w:tplc="95D20DC8">
      <w:start w:val="1"/>
      <w:numFmt w:val="bullet"/>
      <w:lvlText w:val="●"/>
      <w:lvlJc w:val="left"/>
      <w:pPr>
        <w:ind w:left="6480" w:hanging="360"/>
      </w:pPr>
    </w:lvl>
  </w:abstractNum>
  <w:num w:numId="1">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C0802"/>
    <w:rsid w:val="000C0802"/>
    <w:rsid w:val="00B20FF7"/>
    <w:rsid w:val="00C94143"/>
    <w:rsid w:val="00EC13E1"/>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299FE3"/>
  <w15:docId w15:val="{7D1A478D-1164-4C46-8668-1E590116B8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s-CO" w:eastAsia="es-CO"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1">
    <w:name w:val="heading 1"/>
    <w:qFormat/>
    <w:pPr>
      <w:outlineLvl w:val="0"/>
    </w:pPr>
    <w:rPr>
      <w:color w:val="2E74B5"/>
      <w:sz w:val="32"/>
      <w:szCs w:val="32"/>
    </w:rPr>
  </w:style>
  <w:style w:type="paragraph" w:styleId="Ttulo2">
    <w:name w:val="heading 2"/>
    <w:qFormat/>
    <w:pPr>
      <w:outlineLvl w:val="1"/>
    </w:pPr>
    <w:rPr>
      <w:color w:val="2E74B5"/>
      <w:sz w:val="26"/>
      <w:szCs w:val="26"/>
    </w:rPr>
  </w:style>
  <w:style w:type="paragraph" w:styleId="Ttulo3">
    <w:name w:val="heading 3"/>
    <w:qFormat/>
    <w:pPr>
      <w:outlineLvl w:val="2"/>
    </w:pPr>
    <w:rPr>
      <w:color w:val="1F4D78"/>
      <w:sz w:val="24"/>
      <w:szCs w:val="24"/>
    </w:rPr>
  </w:style>
  <w:style w:type="paragraph" w:styleId="Ttulo4">
    <w:name w:val="heading 4"/>
    <w:qFormat/>
    <w:pPr>
      <w:outlineLvl w:val="3"/>
    </w:pPr>
    <w:rPr>
      <w:i/>
      <w:iCs/>
      <w:color w:val="2E74B5"/>
    </w:rPr>
  </w:style>
  <w:style w:type="paragraph" w:styleId="Ttulo5">
    <w:name w:val="heading 5"/>
    <w:qFormat/>
    <w:pPr>
      <w:outlineLvl w:val="4"/>
    </w:pPr>
    <w:rPr>
      <w:color w:val="2E74B5"/>
    </w:rPr>
  </w:style>
  <w:style w:type="paragraph" w:styleId="Ttulo6">
    <w:name w:val="heading 6"/>
    <w:qFormat/>
    <w:pPr>
      <w:outlineLvl w:val="5"/>
    </w:pPr>
    <w:rPr>
      <w:color w:val="1F4D7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tulo">
    <w:name w:val="Title"/>
    <w:qFormat/>
    <w:rPr>
      <w:sz w:val="56"/>
      <w:szCs w:val="56"/>
    </w:rPr>
  </w:style>
  <w:style w:type="paragraph" w:customStyle="1" w:styleId="Textoennegrita1">
    <w:name w:val="Texto en negrita1"/>
    <w:qFormat/>
    <w:rPr>
      <w:b/>
      <w:bCs/>
    </w:rPr>
  </w:style>
  <w:style w:type="paragraph" w:styleId="Prrafodelista">
    <w:name w:val="List Paragraph"/>
    <w:qFormat/>
  </w:style>
  <w:style w:type="character" w:styleId="Hipervnculo">
    <w:name w:val="Hyperlink"/>
    <w:uiPriority w:val="99"/>
    <w:unhideWhenUsed/>
    <w:rPr>
      <w:color w:val="0563C1"/>
      <w:u w:val="single"/>
    </w:rPr>
  </w:style>
  <w:style w:type="character" w:styleId="Refdenotaalpie">
    <w:name w:val="footnote reference"/>
    <w:uiPriority w:val="99"/>
    <w:semiHidden/>
    <w:unhideWhenUsed/>
    <w:rPr>
      <w:vertAlign w:val="superscript"/>
    </w:rPr>
  </w:style>
  <w:style w:type="paragraph" w:styleId="Textonotapie">
    <w:name w:val="footnote text"/>
    <w:link w:val="TextonotapieCar"/>
    <w:uiPriority w:val="99"/>
    <w:semiHidden/>
    <w:unhideWhenUsed/>
  </w:style>
  <w:style w:type="character" w:customStyle="1" w:styleId="TextonotapieCar">
    <w:name w:val="Texto nota pie Car"/>
    <w:link w:val="Textonotapie"/>
    <w:uiPriority w:val="99"/>
    <w:semiHidden/>
    <w:unhideWhenUsed/>
    <w:rPr>
      <w:sz w:val="20"/>
      <w:szCs w:val="20"/>
    </w:rPr>
  </w:style>
  <w:style w:type="character" w:styleId="Refdenotaalfinal">
    <w:name w:val="endnote reference"/>
    <w:uiPriority w:val="99"/>
    <w:semiHidden/>
    <w:unhideWhenUsed/>
    <w:rPr>
      <w:vertAlign w:val="superscript"/>
    </w:rPr>
  </w:style>
  <w:style w:type="paragraph" w:styleId="Textonotaalfinal">
    <w:name w:val="endnote text"/>
    <w:link w:val="TextonotaalfinalCar"/>
    <w:uiPriority w:val="99"/>
    <w:semiHidden/>
    <w:unhideWhenUsed/>
  </w:style>
  <w:style w:type="character" w:customStyle="1" w:styleId="TextonotaalfinalCar">
    <w:name w:val="Texto nota al final Car"/>
    <w:link w:val="Textonotaalfinal"/>
    <w:uiPriority w:val="99"/>
    <w:semiHidden/>
    <w:unhideWhenUsed/>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38</TotalTime>
  <Pages>4</Pages>
  <Words>1672</Words>
  <Characters>9201</Characters>
  <Application>Microsoft Office Word</Application>
  <DocSecurity>0</DocSecurity>
  <Lines>76</Lines>
  <Paragraphs>21</Paragraphs>
  <ScaleCrop>false</ScaleCrop>
  <HeadingPairs>
    <vt:vector size="2" baseType="variant">
      <vt:variant>
        <vt:lpstr>Título</vt:lpstr>
      </vt:variant>
      <vt:variant>
        <vt:i4>1</vt:i4>
      </vt:variant>
    </vt:vector>
  </HeadingPairs>
  <TitlesOfParts>
    <vt:vector size="1" baseType="lpstr">
      <vt:lpstr/>
    </vt:vector>
  </TitlesOfParts>
  <Company>HP</Company>
  <LinksUpToDate>false</LinksUpToDate>
  <CharactersWithSpaces>10852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Usuario</cp:lastModifiedBy>
  <cp:revision>2</cp:revision>
  <dcterms:created xsi:type="dcterms:W3CDTF">2026-07-23T23:55:00Z</dcterms:created>
  <dcterms:modified xsi:type="dcterms:W3CDTF">2026-07-24T00:39:00Z</dcterms:modified>
</cp:coreProperties>
</file>